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431A5"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3DD1570A" w14:textId="07B8889E" w:rsidR="00DA36E8" w:rsidRDefault="00D9517D" w:rsidP="008262FF">
      <w:pPr>
        <w:tabs>
          <w:tab w:val="left" w:pos="1170"/>
        </w:tabs>
        <w:spacing w:after="120" w:line="480" w:lineRule="auto"/>
        <w:rPr>
          <w:sz w:val="24"/>
        </w:rPr>
      </w:pPr>
      <w:r>
        <w:rPr>
          <w:sz w:val="24"/>
        </w:rPr>
        <w:t>To:</w:t>
      </w:r>
      <w:r>
        <w:rPr>
          <w:sz w:val="24"/>
        </w:rPr>
        <w:tab/>
        <w:t>Kourtnee Jinks, Legal Division</w:t>
      </w:r>
    </w:p>
    <w:p w14:paraId="553D4998" w14:textId="77777777" w:rsidR="009C2705" w:rsidRDefault="00D9517D" w:rsidP="009C2705">
      <w:pPr>
        <w:tabs>
          <w:tab w:val="left" w:pos="1170"/>
          <w:tab w:val="left" w:pos="6540"/>
        </w:tabs>
        <w:rPr>
          <w:sz w:val="24"/>
        </w:rPr>
      </w:pPr>
      <w:r>
        <w:rPr>
          <w:sz w:val="24"/>
        </w:rPr>
        <w:t>From:</w:t>
      </w:r>
      <w:r>
        <w:rPr>
          <w:sz w:val="24"/>
        </w:rPr>
        <w:tab/>
      </w:r>
      <w:r w:rsidR="009C2705" w:rsidRPr="009C2705">
        <w:rPr>
          <w:sz w:val="24"/>
        </w:rPr>
        <w:t xml:space="preserve">Therese Harris, Director of Infrastructure Analysis and Mapping, Infrastructure </w:t>
      </w:r>
      <w:r w:rsidR="009C2705">
        <w:rPr>
          <w:sz w:val="24"/>
        </w:rPr>
        <w:tab/>
      </w:r>
      <w:r w:rsidR="009C2705" w:rsidRPr="009C2705">
        <w:rPr>
          <w:sz w:val="24"/>
        </w:rPr>
        <w:t>Division</w:t>
      </w:r>
    </w:p>
    <w:p w14:paraId="4D5DD131" w14:textId="39D5AC3C" w:rsidR="00D9517D" w:rsidRDefault="00902E8A" w:rsidP="009C2705">
      <w:pPr>
        <w:tabs>
          <w:tab w:val="left" w:pos="1170"/>
          <w:tab w:val="left" w:pos="6540"/>
        </w:tabs>
        <w:rPr>
          <w:sz w:val="24"/>
        </w:rPr>
      </w:pPr>
      <w:r>
        <w:rPr>
          <w:sz w:val="24"/>
        </w:rPr>
        <w:tab/>
      </w:r>
    </w:p>
    <w:p w14:paraId="75020528" w14:textId="3822D013" w:rsidR="00D9517D" w:rsidRDefault="00D9517D" w:rsidP="004712FD">
      <w:pPr>
        <w:tabs>
          <w:tab w:val="left" w:pos="1170"/>
        </w:tabs>
        <w:ind w:left="1166" w:hanging="1166"/>
        <w:jc w:val="both"/>
        <w:rPr>
          <w:i/>
          <w:iCs/>
          <w:sz w:val="24"/>
        </w:rPr>
      </w:pPr>
      <w:r>
        <w:rPr>
          <w:sz w:val="24"/>
        </w:rPr>
        <w:t>Subject:</w:t>
      </w:r>
      <w:r>
        <w:rPr>
          <w:sz w:val="24"/>
        </w:rPr>
        <w:tab/>
      </w:r>
      <w:r w:rsidRPr="009C2705">
        <w:rPr>
          <w:b/>
          <w:bCs/>
          <w:sz w:val="24"/>
        </w:rPr>
        <w:t>Docket No. 50806</w:t>
      </w:r>
      <w:r>
        <w:rPr>
          <w:sz w:val="24"/>
        </w:rPr>
        <w:t xml:space="preserve">, </w:t>
      </w:r>
      <w:r>
        <w:rPr>
          <w:i/>
          <w:iCs/>
          <w:sz w:val="24"/>
        </w:rPr>
        <w:t xml:space="preserve">Application of El Paso Electric Company to </w:t>
      </w:r>
      <w:r w:rsidR="00902E8A">
        <w:rPr>
          <w:i/>
          <w:iCs/>
          <w:sz w:val="24"/>
        </w:rPr>
        <w:t xml:space="preserve">Adjust </w:t>
      </w:r>
      <w:r>
        <w:rPr>
          <w:i/>
          <w:iCs/>
          <w:sz w:val="24"/>
        </w:rPr>
        <w:t>Its Energy Efficiency Cost Recovery Factor and Establish Revised Cost Cap</w:t>
      </w:r>
    </w:p>
    <w:p w14:paraId="216A6F80" w14:textId="0B4438CD" w:rsidR="00D9517D" w:rsidRDefault="00D9517D" w:rsidP="00D9517D">
      <w:pPr>
        <w:tabs>
          <w:tab w:val="left" w:pos="1170"/>
        </w:tabs>
        <w:ind w:left="1166" w:hanging="1166"/>
        <w:rPr>
          <w:i/>
          <w:iCs/>
          <w:sz w:val="24"/>
        </w:rPr>
      </w:pPr>
    </w:p>
    <w:p w14:paraId="5343C5E5" w14:textId="2A9547D7" w:rsidR="00D9517D" w:rsidRDefault="00D9517D" w:rsidP="00D9517D">
      <w:pPr>
        <w:tabs>
          <w:tab w:val="left" w:pos="1170"/>
        </w:tabs>
        <w:ind w:left="1166" w:hanging="1166"/>
        <w:rPr>
          <w:sz w:val="24"/>
        </w:rPr>
      </w:pPr>
      <w:r>
        <w:rPr>
          <w:sz w:val="24"/>
        </w:rPr>
        <w:t>Date:</w:t>
      </w:r>
      <w:r>
        <w:rPr>
          <w:sz w:val="24"/>
        </w:rPr>
        <w:tab/>
        <w:t xml:space="preserve">July </w:t>
      </w:r>
      <w:r w:rsidR="00902E8A">
        <w:rPr>
          <w:sz w:val="24"/>
        </w:rPr>
        <w:t>10</w:t>
      </w:r>
      <w:r>
        <w:rPr>
          <w:sz w:val="24"/>
        </w:rPr>
        <w:t>, 2020</w:t>
      </w:r>
    </w:p>
    <w:p w14:paraId="2B81DC80" w14:textId="2FF4DC83" w:rsidR="00D9517D" w:rsidRDefault="00D9517D" w:rsidP="00D9517D">
      <w:pPr>
        <w:tabs>
          <w:tab w:val="left" w:pos="1170"/>
        </w:tabs>
        <w:ind w:left="1166" w:hanging="1166"/>
        <w:rPr>
          <w:sz w:val="24"/>
        </w:rPr>
      </w:pPr>
    </w:p>
    <w:p w14:paraId="5FBC6867" w14:textId="59FE16F3" w:rsidR="00D9517D" w:rsidRDefault="00D9517D" w:rsidP="00D9517D">
      <w:pPr>
        <w:pBdr>
          <w:bottom w:val="single" w:sz="12" w:space="1" w:color="auto"/>
        </w:pBdr>
        <w:tabs>
          <w:tab w:val="left" w:pos="1170"/>
        </w:tabs>
        <w:ind w:left="1166" w:hanging="1166"/>
        <w:rPr>
          <w:sz w:val="24"/>
        </w:rPr>
      </w:pPr>
    </w:p>
    <w:p w14:paraId="4438ECA1" w14:textId="56DAAEC2" w:rsidR="00D9517D" w:rsidRDefault="00D9517D" w:rsidP="00D9517D">
      <w:pPr>
        <w:tabs>
          <w:tab w:val="left" w:pos="1170"/>
        </w:tabs>
        <w:ind w:left="1166" w:hanging="1166"/>
        <w:jc w:val="both"/>
        <w:rPr>
          <w:sz w:val="24"/>
        </w:rPr>
      </w:pPr>
    </w:p>
    <w:p w14:paraId="1E6F3340" w14:textId="2B0DF1DF" w:rsidR="00D9517D" w:rsidRDefault="00D9517D" w:rsidP="00D9517D">
      <w:pPr>
        <w:tabs>
          <w:tab w:val="left" w:pos="1170"/>
        </w:tabs>
        <w:ind w:left="1166" w:hanging="1166"/>
        <w:jc w:val="both"/>
        <w:rPr>
          <w:sz w:val="24"/>
        </w:rPr>
      </w:pPr>
      <w:bookmarkStart w:id="0" w:name="_GoBack"/>
      <w:bookmarkEnd w:id="0"/>
    </w:p>
    <w:p w14:paraId="6B629E75" w14:textId="77777777" w:rsidR="009C2705" w:rsidRDefault="009C2705" w:rsidP="009C2705">
      <w:pPr>
        <w:pStyle w:val="Style12ptJustifiedLeft0Hanging05LinespacingD"/>
        <w:spacing w:line="240" w:lineRule="auto"/>
        <w:ind w:left="0" w:firstLine="0"/>
      </w:pPr>
      <w:r>
        <w:t>On May 1, 2020, El Paso Electric Company (EPE or Company) filed an Application  to Revise its Energy Efficiency Cost Recovery Factor (EECRF) and Establish Revised Cost Cap under Public Utility Regulatory Act (PURA), Tex. Util. Code Ann. § 39.905, Goal for Energy Efficiency, and 16 Texas Administrative Code (TAC) § 25.181, Energy Efficiency Goal and § 25.182, Energy Efficiency Cost Recovery Factor.</w:t>
      </w:r>
    </w:p>
    <w:p w14:paraId="4165E964" w14:textId="77777777" w:rsidR="009C2705" w:rsidRDefault="009C2705" w:rsidP="009C2705">
      <w:pPr>
        <w:pStyle w:val="Style12ptJustifiedLeft0Hanging05LinespacingD"/>
        <w:spacing w:line="240" w:lineRule="auto"/>
        <w:ind w:left="0" w:firstLine="0"/>
      </w:pPr>
    </w:p>
    <w:p w14:paraId="7DB767AF" w14:textId="77777777" w:rsidR="009C2705" w:rsidRDefault="009C2705" w:rsidP="009C2705">
      <w:pPr>
        <w:pStyle w:val="Style12ptJustifiedLeft0Hanging05LinespacingD"/>
        <w:spacing w:line="240" w:lineRule="auto"/>
        <w:ind w:left="0" w:firstLine="0"/>
      </w:pPr>
      <w:r>
        <w:t xml:space="preserve">In its Application, EPE requested $5,977,584 to be recovered through its EECRF in program year 2021.  This amount is comprised of the following components:  $4,685,522 in energy efficiency program expenses forecasted for the 2021 program year; $2,455 for net under-recovery of energy efficiency costs in the 2019 program year; $56,641 in proceeding expenses for the proceeding in 2019; $57,378 for forecasted evaluation, measurement, and verification (EM&amp;V) contractor costs for review of the 2020 program year to be collected in 2021; and a performance bonus of $1,175,558 for 2019 energy efficiency program performance.  </w:t>
      </w:r>
    </w:p>
    <w:p w14:paraId="001193EC" w14:textId="77777777" w:rsidR="009C2705" w:rsidRDefault="009C2705" w:rsidP="009C2705">
      <w:pPr>
        <w:pStyle w:val="Style12ptJustifiedLeft0Hanging05LinespacingD"/>
        <w:spacing w:line="240" w:lineRule="auto"/>
        <w:ind w:left="0" w:firstLine="0"/>
      </w:pPr>
    </w:p>
    <w:p w14:paraId="3D647537" w14:textId="77777777" w:rsidR="009C2705" w:rsidRDefault="009C2705" w:rsidP="009C2705">
      <w:pPr>
        <w:pStyle w:val="Style12ptJustifiedLeft0Hanging05LinespacingD"/>
        <w:spacing w:line="240" w:lineRule="auto"/>
        <w:ind w:left="0" w:firstLine="0"/>
      </w:pPr>
      <w:r>
        <w:t xml:space="preserve">My review included examination of the reasonableness of EPE’s forecasted 2021 energy efficiency expenses; review of EPE’s request for a good cause exception to its commercial cost cap; verification that EPE’s requested demand and energy goals for the 2021 program year complied with 16 TAC § 25.181(e) and that EPE’s proposed line loss is reasonable; confirmation of the forecasted EM&amp;V contractor costs; review of EPE’s requested performance bonus for the 2019 program year to verify compliance with 16 TAC § 25.182(e); and a review of EPE’s energy efficiency expenses recovered in the 2019 program year to verify that they were reasonable and necessary to reduce demand and energy growth.  </w:t>
      </w:r>
    </w:p>
    <w:p w14:paraId="51F18676" w14:textId="77777777" w:rsidR="009C2705" w:rsidRDefault="009C2705" w:rsidP="009C2705">
      <w:pPr>
        <w:pStyle w:val="Style12ptJustifiedLeft0Hanging05LinespacingD"/>
        <w:spacing w:line="240" w:lineRule="auto"/>
        <w:ind w:left="0" w:firstLine="0"/>
      </w:pPr>
    </w:p>
    <w:p w14:paraId="39C04F49" w14:textId="71DC0C9A" w:rsidR="009C2705" w:rsidRDefault="009C2705" w:rsidP="009C2705">
      <w:pPr>
        <w:pStyle w:val="Style12ptJustifiedLeft0Hanging05LinespacingD"/>
        <w:spacing w:line="240" w:lineRule="auto"/>
        <w:ind w:left="0" w:firstLine="0"/>
      </w:pPr>
      <w:r>
        <w:t xml:space="preserve">Based upon my review of EPE’s Application and accompanying work papers, I have determined that EPE’s total requested energy efficiency expenses for the 2021 program year, that include a request for good cause exception to EPE’s commercial cost cap under to 16 TAC § 25.1821(e)(2), are reasonable. The Company’s requested administrative costs are reasonable </w:t>
      </w:r>
      <w:r>
        <w:lastRenderedPageBreak/>
        <w:t>and fall below the caps set in 16 TAC § 25.181(g); the Company’s demand and energy goal complies with 16 TAC § 25.181(e), and the proposed line loss is reasonable; EPE’s 2021 hard-to-reach program is designed to achieve savings no less than 5% of the Company’s total demand reduction goal under to 16 TAC § 25.181(e)(3)(F); the Company’s requested performance bonus for program year 2019 was calculated in accordance with 16 TAC § 25.182(e) and appropriately reduced to reflect the percentage that EPE exceeded the commercial cost cap established by 16 TAC § 25.182(d)(7)(B);</w:t>
      </w:r>
      <w:r>
        <w:rPr>
          <w:rStyle w:val="FootnoteReference"/>
        </w:rPr>
        <w:footnoteReference w:id="1"/>
      </w:r>
      <w:r>
        <w:t xml:space="preserve"> and EPE’s 2019 program costs were reasonable and necessary to achieve demand and energy savings.</w:t>
      </w:r>
    </w:p>
    <w:p w14:paraId="21AE6502" w14:textId="77777777" w:rsidR="009C2705" w:rsidRDefault="009C2705" w:rsidP="009C2705">
      <w:pPr>
        <w:pStyle w:val="Style12ptJustifiedLeft0Hanging05LinespacingD"/>
        <w:spacing w:line="240" w:lineRule="auto"/>
        <w:ind w:left="0" w:firstLine="0"/>
      </w:pPr>
    </w:p>
    <w:p w14:paraId="3A65CE20" w14:textId="77777777" w:rsidR="009C2705" w:rsidRDefault="009C2705" w:rsidP="009C2705">
      <w:pPr>
        <w:pStyle w:val="Style12ptJustifiedLeft0Hanging05LinespacingD"/>
        <w:spacing w:line="240" w:lineRule="auto"/>
        <w:ind w:left="0" w:firstLine="0"/>
      </w:pPr>
      <w:r>
        <w:t xml:space="preserve">Based upon my review of the Application, as described above, I conclude that the Application is reasonable and meets the requirements of 16 TAC §§ 25.181 and 25.182.  </w:t>
      </w:r>
    </w:p>
    <w:p w14:paraId="6EA177A4" w14:textId="77777777" w:rsidR="009C2705" w:rsidRDefault="009C2705" w:rsidP="009C2705">
      <w:pPr>
        <w:pStyle w:val="Style12ptJustifiedLeft0Hanging05LinespacingD"/>
        <w:ind w:left="2160" w:right="1440" w:hanging="1440"/>
      </w:pPr>
    </w:p>
    <w:p w14:paraId="6B6B2CF0" w14:textId="039BE2A7" w:rsidR="00D9517D" w:rsidRDefault="00C534D2" w:rsidP="00C534D2">
      <w:pPr>
        <w:pStyle w:val="Style12ptJustifiedLeft0Hanging05LinespacingD"/>
        <w:spacing w:line="240" w:lineRule="auto"/>
        <w:ind w:left="2160" w:right="1440" w:hanging="1440"/>
      </w:pPr>
      <w:r>
        <w:rPr>
          <w:szCs w:val="24"/>
        </w:rPr>
        <w:tab/>
      </w:r>
    </w:p>
    <w:p w14:paraId="0D6E70FE" w14:textId="77777777" w:rsidR="00D9517D" w:rsidRPr="00D9517D" w:rsidRDefault="00D9517D" w:rsidP="008262FF">
      <w:pPr>
        <w:tabs>
          <w:tab w:val="left" w:pos="1170"/>
        </w:tabs>
        <w:spacing w:after="120" w:line="480" w:lineRule="auto"/>
        <w:rPr>
          <w:sz w:val="24"/>
        </w:rPr>
      </w:pPr>
    </w:p>
    <w:sectPr w:rsidR="00D9517D" w:rsidRPr="00D9517D"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F99D9" w14:textId="77777777" w:rsidR="00422864" w:rsidRDefault="00422864">
      <w:r>
        <w:separator/>
      </w:r>
    </w:p>
  </w:endnote>
  <w:endnote w:type="continuationSeparator" w:id="0">
    <w:p w14:paraId="42BC1723" w14:textId="77777777" w:rsidR="00422864" w:rsidRDefault="0042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F81F1" w14:textId="77777777" w:rsidR="00422864" w:rsidRDefault="00422864">
      <w:r>
        <w:separator/>
      </w:r>
    </w:p>
  </w:footnote>
  <w:footnote w:type="continuationSeparator" w:id="0">
    <w:p w14:paraId="52CB96EA" w14:textId="77777777" w:rsidR="00422864" w:rsidRDefault="00422864">
      <w:r>
        <w:continuationSeparator/>
      </w:r>
    </w:p>
  </w:footnote>
  <w:footnote w:id="1">
    <w:p w14:paraId="0F1D7827" w14:textId="276BE926" w:rsidR="009C2705" w:rsidRDefault="009C2705" w:rsidP="009C2705">
      <w:pPr>
        <w:pStyle w:val="FootnoteText"/>
        <w:jc w:val="both"/>
      </w:pPr>
      <w:r>
        <w:tab/>
      </w:r>
      <w:r>
        <w:rPr>
          <w:rStyle w:val="FootnoteReference"/>
        </w:rPr>
        <w:footnoteRef/>
      </w:r>
      <w:r>
        <w:t xml:space="preserve">  </w:t>
      </w:r>
      <w:r w:rsidRPr="00574229">
        <w:t>Because the Commission granted EPE a good cause exception for a higher EECRF cost cap for its commercial customers for the 2019 program year, EPE reduced its calculated performance bonus to</w:t>
      </w:r>
      <w:r>
        <w:t xml:space="preserve"> </w:t>
      </w:r>
      <w:r w:rsidRPr="00574229">
        <w:t>reflect the</w:t>
      </w:r>
      <w:r>
        <w:t xml:space="preserve"> </w:t>
      </w:r>
      <w:r w:rsidRPr="00574229">
        <w:t>method approved in Docket No 48332</w:t>
      </w:r>
      <w:r>
        <w:t>.</w:t>
      </w:r>
      <w:r w:rsidRPr="00574229">
        <w:t xml:space="preserve"> </w:t>
      </w:r>
      <w:r>
        <w:t xml:space="preserve"> </w:t>
      </w:r>
      <w:r w:rsidRPr="00574229">
        <w:rPr>
          <w:i/>
          <w:iCs/>
        </w:rPr>
        <w:t>Application of El Paso Electric Company to Adjust its Cost Recovery Factor and</w:t>
      </w:r>
      <w:r>
        <w:rPr>
          <w:i/>
          <w:iCs/>
        </w:rPr>
        <w:t xml:space="preserve"> </w:t>
      </w:r>
      <w:r w:rsidRPr="00574229">
        <w:rPr>
          <w:i/>
          <w:iCs/>
        </w:rPr>
        <w:t>Establish Revised Cost Cap</w:t>
      </w:r>
      <w:r w:rsidRPr="00574229">
        <w:t xml:space="preserve">, </w:t>
      </w:r>
      <w:r>
        <w:t xml:space="preserve">Docket No. 48332, </w:t>
      </w:r>
      <w:r w:rsidRPr="00574229">
        <w:t>F</w:t>
      </w:r>
      <w:r>
        <w:t xml:space="preserve">inding </w:t>
      </w:r>
      <w:r w:rsidRPr="00574229">
        <w:t>o</w:t>
      </w:r>
      <w:r>
        <w:t xml:space="preserve">f </w:t>
      </w:r>
      <w:r w:rsidRPr="00574229">
        <w:t>F</w:t>
      </w:r>
      <w:r>
        <w:t>act No.</w:t>
      </w:r>
      <w:r w:rsidRPr="00574229">
        <w:t xml:space="preserve"> 42A (Jan. 17, 2019).  This method reduces the performance bonus otherwise permitted by § 25.182(e), by the percentage by which EPE exceeded the applicable costs caps under 16 TAC § 25.182(d)(7).</w:t>
      </w:r>
      <w:r>
        <w:t xml:space="preserve"> </w:t>
      </w: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14045" w14:textId="77777777" w:rsidR="00DA36E8" w:rsidRDefault="00DA36E8">
    <w:pPr>
      <w:pStyle w:val="Header"/>
      <w:jc w:val="center"/>
      <w:rPr>
        <w:b/>
        <w:i/>
        <w:sz w:val="38"/>
      </w:rPr>
    </w:pPr>
    <w:r>
      <w:rPr>
        <w:b/>
        <w:i/>
        <w:sz w:val="38"/>
      </w:rPr>
      <w:t>Public Utility Commission of Texas</w:t>
    </w:r>
  </w:p>
  <w:p w14:paraId="599B760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C0ABD2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8FDEB" w14:textId="75E87D1C" w:rsidR="00DA36E8" w:rsidRDefault="005D34B3">
    <w:pPr>
      <w:pStyle w:val="Header"/>
    </w:pPr>
    <w:r>
      <w:ptab w:relativeTo="margin" w:alignment="center" w:leader="none"/>
    </w:r>
    <w:r>
      <w:ptab w:relativeTo="margin" w:alignment="right" w:leader="none"/>
    </w:r>
    <w:r>
      <w:t>Page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17BEE"/>
    <w:multiLevelType w:val="hybridMultilevel"/>
    <w:tmpl w:val="724AE9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E00"/>
    <w:rsid w:val="00126C32"/>
    <w:rsid w:val="0013111D"/>
    <w:rsid w:val="003B1204"/>
    <w:rsid w:val="003F2A67"/>
    <w:rsid w:val="00422864"/>
    <w:rsid w:val="004712FD"/>
    <w:rsid w:val="005666EB"/>
    <w:rsid w:val="005D34B3"/>
    <w:rsid w:val="00744B73"/>
    <w:rsid w:val="007E4EE0"/>
    <w:rsid w:val="008257EC"/>
    <w:rsid w:val="008262FF"/>
    <w:rsid w:val="00851E00"/>
    <w:rsid w:val="00902E8A"/>
    <w:rsid w:val="0091083F"/>
    <w:rsid w:val="00916E4A"/>
    <w:rsid w:val="0093072B"/>
    <w:rsid w:val="009C2705"/>
    <w:rsid w:val="00A7691E"/>
    <w:rsid w:val="00BC6318"/>
    <w:rsid w:val="00BF6FF6"/>
    <w:rsid w:val="00C47C78"/>
    <w:rsid w:val="00C534D2"/>
    <w:rsid w:val="00C617B2"/>
    <w:rsid w:val="00D23E29"/>
    <w:rsid w:val="00D9517D"/>
    <w:rsid w:val="00DA36E8"/>
    <w:rsid w:val="00DD06FB"/>
    <w:rsid w:val="00EA5690"/>
    <w:rsid w:val="00F2112C"/>
    <w:rsid w:val="00F85523"/>
    <w:rsid w:val="00FC4194"/>
    <w:rsid w:val="00FE3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22F3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FootnoteText">
    <w:name w:val="footnote text"/>
    <w:aliases w:val="Style 22,Style 13,Footnote Text Char Char1,fn,Footnote Text Char Char,ft Char,Footnote Text Char2 Char,Footnote Text Char Char1 Char,Footnote Text Char1 Char Char Char,Footnote Text Char Char Char Char Char,ft,f,Footnote Text Char1"/>
    <w:basedOn w:val="Normal"/>
    <w:link w:val="FootnoteTextChar"/>
    <w:uiPriority w:val="99"/>
    <w:unhideWhenUsed/>
    <w:qFormat/>
    <w:rsid w:val="00D9517D"/>
    <w:pPr>
      <w:overflowPunct/>
      <w:autoSpaceDE/>
      <w:autoSpaceDN/>
      <w:adjustRightInd/>
      <w:textAlignment w:val="auto"/>
    </w:pPr>
  </w:style>
  <w:style w:type="character" w:customStyle="1" w:styleId="FootnoteTextChar">
    <w:name w:val="Footnote Text Char"/>
    <w:aliases w:val="Style 22 Char,Style 13 Char,Footnote Text Char Char1 Char1,fn Char,Footnote Text Char Char Char,ft Char Char,Footnote Text Char2 Char Char,Footnote Text Char Char1 Char Char,Footnote Text Char1 Char Char Char Char,ft Char1,f Char"/>
    <w:basedOn w:val="DefaultParagraphFont"/>
    <w:link w:val="FootnoteText"/>
    <w:uiPriority w:val="99"/>
    <w:rsid w:val="00D9517D"/>
  </w:style>
  <w:style w:type="character" w:styleId="FootnoteReference">
    <w:name w:val="footnote reference"/>
    <w:aliases w:val="Style 21,Style 12,Style 24,o,fr,Style 17,Style 11,Style 28,Style 8,Style 15,Style 9,o1,fr1,o2,fr2,o3,fr3,Style 18,(NECG) Footnote Reference,Style 20,Style 7,Style 19,Style 16,Style 30,HLR Footnote,Style 3,FR,Appel note de bas de p"/>
    <w:basedOn w:val="DefaultParagraphFont"/>
    <w:uiPriority w:val="99"/>
    <w:unhideWhenUsed/>
    <w:qFormat/>
    <w:rsid w:val="00D9517D"/>
    <w:rPr>
      <w:vertAlign w:val="superscript"/>
    </w:rPr>
  </w:style>
  <w:style w:type="paragraph" w:customStyle="1" w:styleId="Style12ptJustifiedLeft0Hanging05LinespacingD">
    <w:name w:val="Style 12 pt Justified Left:  0&quot; Hanging:  0.5&quot; Line spacing:  D..."/>
    <w:basedOn w:val="Normal"/>
    <w:rsid w:val="00C534D2"/>
    <w:pPr>
      <w:spacing w:line="480" w:lineRule="auto"/>
      <w:ind w:left="720" w:hanging="720"/>
      <w:jc w:val="both"/>
    </w:pPr>
    <w:rPr>
      <w:sz w:val="24"/>
    </w:rPr>
  </w:style>
  <w:style w:type="character" w:customStyle="1" w:styleId="FooterChar">
    <w:name w:val="Footer Char"/>
    <w:basedOn w:val="DefaultParagraphFont"/>
    <w:link w:val="Footer"/>
    <w:uiPriority w:val="99"/>
    <w:rsid w:val="00F85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FCEFD-3EAE-43B3-8D90-952FAD03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2020-07-10T18:06:00Z</dcterms:created>
  <dcterms:modified xsi:type="dcterms:W3CDTF">2020-07-10T18:07:00Z</dcterms:modified>
</cp:coreProperties>
</file>